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20EA" w14:textId="7D313956" w:rsidR="00F242B7" w:rsidRPr="004F69F1" w:rsidRDefault="00BA14C3">
      <w:pPr>
        <w:rPr>
          <w:b/>
          <w:bCs/>
          <w:u w:val="single"/>
        </w:rPr>
      </w:pPr>
      <w:r w:rsidRPr="004F69F1">
        <w:rPr>
          <w:b/>
          <w:bCs/>
          <w:u w:val="single"/>
        </w:rPr>
        <w:t>Madhavan Geetham</w:t>
      </w:r>
    </w:p>
    <w:p w14:paraId="2CC0A3BF" w14:textId="73F8A410" w:rsidR="004C13A5" w:rsidRPr="0071042A" w:rsidRDefault="004C13A5">
      <w:pPr>
        <w:rPr>
          <w:b/>
          <w:bCs/>
        </w:rPr>
      </w:pPr>
      <w:r w:rsidRPr="0071042A">
        <w:rPr>
          <w:b/>
          <w:bCs/>
        </w:rPr>
        <w:t xml:space="preserve">Program Order </w:t>
      </w:r>
    </w:p>
    <w:p w14:paraId="33F97E7F" w14:textId="04CEDFA9" w:rsidR="004C13A5" w:rsidRDefault="004C13A5" w:rsidP="004C13A5">
      <w:pPr>
        <w:pStyle w:val="ListParagraph"/>
        <w:numPr>
          <w:ilvl w:val="0"/>
          <w:numId w:val="1"/>
        </w:numPr>
      </w:pPr>
      <w:r>
        <w:t>Vakrathunda Maahakaya + Naada Roopninni</w:t>
      </w:r>
    </w:p>
    <w:p w14:paraId="006B10BF" w14:textId="5802C220" w:rsidR="004C13A5" w:rsidRDefault="004C13A5" w:rsidP="004C13A5">
      <w:pPr>
        <w:pStyle w:val="ListParagraph"/>
        <w:numPr>
          <w:ilvl w:val="0"/>
          <w:numId w:val="1"/>
        </w:numPr>
      </w:pPr>
      <w:r>
        <w:t>Panthala Balano</w:t>
      </w:r>
    </w:p>
    <w:p w14:paraId="6FC61145" w14:textId="43487045" w:rsidR="004C13A5" w:rsidRDefault="004C13A5" w:rsidP="004C13A5">
      <w:pPr>
        <w:pStyle w:val="ListParagraph"/>
        <w:numPr>
          <w:ilvl w:val="0"/>
          <w:numId w:val="1"/>
        </w:numPr>
      </w:pPr>
      <w:r>
        <w:t>Marula Minchara</w:t>
      </w:r>
    </w:p>
    <w:p w14:paraId="43F562D0" w14:textId="05DE557E" w:rsidR="004C13A5" w:rsidRDefault="004C13A5" w:rsidP="004C13A5">
      <w:pPr>
        <w:pStyle w:val="ListParagraph"/>
        <w:numPr>
          <w:ilvl w:val="0"/>
          <w:numId w:val="1"/>
        </w:numPr>
      </w:pPr>
      <w:r>
        <w:t>Endaro Mahanubhavulu</w:t>
      </w:r>
    </w:p>
    <w:p w14:paraId="5349AC8A" w14:textId="316DB402" w:rsidR="004C13A5" w:rsidRPr="004C13A5" w:rsidRDefault="004C13A5" w:rsidP="004C13A5">
      <w:pPr>
        <w:pStyle w:val="ListParagraph"/>
        <w:pBdr>
          <w:bottom w:val="single" w:sz="12" w:space="1" w:color="auto"/>
        </w:pBdr>
        <w:rPr>
          <w:b/>
          <w:bCs/>
        </w:rPr>
      </w:pPr>
      <w:r w:rsidRPr="004C13A5">
        <w:rPr>
          <w:b/>
          <w:bCs/>
        </w:rPr>
        <w:t>Break</w:t>
      </w:r>
    </w:p>
    <w:p w14:paraId="7530E8C1" w14:textId="71E44BAF" w:rsidR="004C13A5" w:rsidRPr="004C13A5" w:rsidRDefault="004C13A5" w:rsidP="004C13A5">
      <w:pPr>
        <w:pStyle w:val="ListParagraph"/>
        <w:numPr>
          <w:ilvl w:val="0"/>
          <w:numId w:val="1"/>
        </w:numPr>
        <w:pBdr>
          <w:bottom w:val="single" w:sz="12" w:space="1" w:color="auto"/>
        </w:pBdr>
      </w:pPr>
      <w:r w:rsidRPr="004C13A5">
        <w:t>Bo Shambo</w:t>
      </w:r>
    </w:p>
    <w:p w14:paraId="337EEA15" w14:textId="782F869E" w:rsidR="004C13A5" w:rsidRPr="004C13A5" w:rsidRDefault="004C13A5" w:rsidP="004C13A5">
      <w:pPr>
        <w:pStyle w:val="ListParagraph"/>
        <w:numPr>
          <w:ilvl w:val="0"/>
          <w:numId w:val="1"/>
        </w:numPr>
        <w:pBdr>
          <w:bottom w:val="single" w:sz="12" w:space="1" w:color="auto"/>
        </w:pBdr>
      </w:pPr>
      <w:r w:rsidRPr="004C13A5">
        <w:t>Emi Sethura Linga</w:t>
      </w:r>
    </w:p>
    <w:p w14:paraId="54496CCD" w14:textId="7BC1969B" w:rsidR="004C13A5" w:rsidRPr="004C13A5" w:rsidRDefault="004C13A5" w:rsidP="004C13A5">
      <w:pPr>
        <w:pStyle w:val="ListParagraph"/>
        <w:numPr>
          <w:ilvl w:val="0"/>
          <w:numId w:val="1"/>
        </w:numPr>
        <w:pBdr>
          <w:bottom w:val="single" w:sz="12" w:space="1" w:color="auto"/>
        </w:pBdr>
      </w:pPr>
      <w:r w:rsidRPr="004C13A5">
        <w:t>Rama Rama Nivaramu</w:t>
      </w:r>
    </w:p>
    <w:p w14:paraId="59B91EB7" w14:textId="40B742B1" w:rsidR="004C13A5" w:rsidRPr="004C13A5" w:rsidRDefault="004C13A5" w:rsidP="004C13A5">
      <w:pPr>
        <w:pStyle w:val="ListParagraph"/>
        <w:numPr>
          <w:ilvl w:val="0"/>
          <w:numId w:val="1"/>
        </w:numPr>
        <w:pBdr>
          <w:bottom w:val="single" w:sz="12" w:space="1" w:color="auto"/>
        </w:pBdr>
      </w:pPr>
      <w:r w:rsidRPr="004C13A5">
        <w:t>Nagumo</w:t>
      </w:r>
    </w:p>
    <w:p w14:paraId="2C7EAEC2" w14:textId="7E8A39FE" w:rsidR="004C13A5" w:rsidRPr="004C13A5" w:rsidRDefault="004C13A5" w:rsidP="004C13A5">
      <w:pPr>
        <w:pStyle w:val="ListParagraph"/>
        <w:numPr>
          <w:ilvl w:val="0"/>
          <w:numId w:val="1"/>
        </w:numPr>
        <w:pBdr>
          <w:bottom w:val="single" w:sz="12" w:space="1" w:color="auto"/>
        </w:pBdr>
      </w:pPr>
      <w:r w:rsidRPr="004C13A5">
        <w:t>Dhanashree Tillana</w:t>
      </w:r>
    </w:p>
    <w:p w14:paraId="0D24E6B1" w14:textId="77777777" w:rsidR="004C13A5" w:rsidRDefault="004C13A5" w:rsidP="004C13A5">
      <w:pPr>
        <w:pStyle w:val="ListParagraph"/>
        <w:rPr>
          <w:b/>
          <w:bCs/>
        </w:rPr>
      </w:pPr>
    </w:p>
    <w:p w14:paraId="083A72EB" w14:textId="7F95B23F" w:rsidR="004C13A5" w:rsidRPr="004C13A5" w:rsidRDefault="004C13A5" w:rsidP="0071042A">
      <w:pPr>
        <w:pStyle w:val="ListParagraph"/>
        <w:ind w:left="0"/>
        <w:rPr>
          <w:b/>
          <w:bCs/>
        </w:rPr>
      </w:pPr>
      <w:r>
        <w:rPr>
          <w:b/>
          <w:bCs/>
        </w:rPr>
        <w:t>Write Ups</w:t>
      </w:r>
    </w:p>
    <w:p w14:paraId="46CD4221" w14:textId="77777777" w:rsidR="004C13A5" w:rsidRDefault="004C13A5"/>
    <w:p w14:paraId="1FE5389B" w14:textId="3416EB67" w:rsidR="00BA14C3" w:rsidRPr="004C13A5" w:rsidRDefault="00BA14C3" w:rsidP="004C13A5">
      <w:pPr>
        <w:pStyle w:val="ListParagraph"/>
        <w:numPr>
          <w:ilvl w:val="0"/>
          <w:numId w:val="2"/>
        </w:numPr>
        <w:rPr>
          <w:b/>
          <w:bCs/>
        </w:rPr>
      </w:pPr>
      <w:r w:rsidRPr="004C13A5">
        <w:rPr>
          <w:b/>
          <w:bCs/>
        </w:rPr>
        <w:t>Panthala Balano</w:t>
      </w:r>
    </w:p>
    <w:p w14:paraId="4CC760AF" w14:textId="279C8B0F" w:rsidR="00BA14C3" w:rsidRDefault="00BA14C3" w:rsidP="00BA14C3">
      <w:pPr>
        <w:ind w:left="360"/>
      </w:pPr>
      <w:r w:rsidRPr="00BA14C3">
        <w:t>Left alone by the mother he still loved, the young Ayyappa braved the forest to bring back a tiger that could heal her. Completing his sacred duty, he offered the throne to his brother and walked away from royalty. His steps led him to Sabarimala—where a prince became a deity, and sacrifice became his path to divinity.</w:t>
      </w:r>
      <w:r w:rsidR="00CE5DAF">
        <w:t xml:space="preserve"> </w:t>
      </w:r>
    </w:p>
    <w:p w14:paraId="34F325BB" w14:textId="05D96B5E" w:rsidR="00BA14C3" w:rsidRPr="00DC6C62" w:rsidRDefault="00BA14C3" w:rsidP="004C13A5">
      <w:pPr>
        <w:pStyle w:val="ListParagraph"/>
        <w:numPr>
          <w:ilvl w:val="0"/>
          <w:numId w:val="2"/>
        </w:numPr>
        <w:rPr>
          <w:b/>
          <w:bCs/>
        </w:rPr>
      </w:pPr>
      <w:r w:rsidRPr="00DC6C62">
        <w:rPr>
          <w:b/>
          <w:bCs/>
        </w:rPr>
        <w:t>Endaro Mahanu Bhavulu</w:t>
      </w:r>
    </w:p>
    <w:p w14:paraId="1D93420C" w14:textId="77777777" w:rsidR="004C13A5" w:rsidRDefault="0018179D" w:rsidP="004C13A5">
      <w:pPr>
        <w:pStyle w:val="NormalWeb"/>
        <w:ind w:left="360"/>
        <w:rPr>
          <w:rFonts w:asciiTheme="minorHAnsi" w:hAnsiTheme="minorHAnsi" w:cstheme="minorHAnsi"/>
          <w:sz w:val="22"/>
          <w:szCs w:val="22"/>
        </w:rPr>
      </w:pPr>
      <w:r w:rsidRPr="004C13A5">
        <w:rPr>
          <w:rFonts w:asciiTheme="minorHAnsi" w:hAnsiTheme="minorHAnsi" w:cstheme="minorHAnsi"/>
          <w:sz w:val="22"/>
          <w:szCs w:val="22"/>
        </w:rPr>
        <w:t xml:space="preserve">Saint Tyagaraja beautifully portrays Vibhishana’s </w:t>
      </w:r>
      <w:r w:rsidRPr="004C13A5">
        <w:rPr>
          <w:rStyle w:val="Strong"/>
          <w:rFonts w:asciiTheme="minorHAnsi" w:eastAsiaTheme="majorEastAsia" w:hAnsiTheme="minorHAnsi" w:cstheme="minorHAnsi"/>
          <w:sz w:val="22"/>
          <w:szCs w:val="22"/>
        </w:rPr>
        <w:t>bhakti</w:t>
      </w:r>
      <w:r w:rsidRPr="004C13A5">
        <w:rPr>
          <w:rFonts w:asciiTheme="minorHAnsi" w:hAnsiTheme="minorHAnsi" w:cstheme="minorHAnsi"/>
          <w:sz w:val="22"/>
          <w:szCs w:val="22"/>
        </w:rPr>
        <w:t xml:space="preserve"> in the kriti </w:t>
      </w:r>
      <w:r w:rsidRPr="004C13A5">
        <w:rPr>
          <w:rStyle w:val="Emphasis"/>
          <w:rFonts w:asciiTheme="minorHAnsi" w:eastAsiaTheme="majorEastAsia" w:hAnsiTheme="minorHAnsi" w:cstheme="minorHAnsi"/>
          <w:i w:val="0"/>
          <w:iCs w:val="0"/>
          <w:sz w:val="22"/>
          <w:szCs w:val="22"/>
        </w:rPr>
        <w:t>Endaro Mahanubhavulu</w:t>
      </w:r>
      <w:r w:rsidRPr="004C13A5">
        <w:rPr>
          <w:rFonts w:asciiTheme="minorHAnsi" w:hAnsiTheme="minorHAnsi" w:cstheme="minorHAnsi"/>
          <w:sz w:val="22"/>
          <w:szCs w:val="22"/>
        </w:rPr>
        <w:t>. Vibhishana, the noble brother of Ravana, realizes the grave sin committed by Ravana in abducting Sita. Choosing righteousness over loyalty to adharma, he crosses the ocean to seek refuge at Lord Rama’s feet.</w:t>
      </w:r>
      <w:r w:rsidR="009916D7" w:rsidRPr="004C13A5">
        <w:rPr>
          <w:rFonts w:asciiTheme="minorHAnsi" w:hAnsiTheme="minorHAnsi" w:cstheme="minorHAnsi"/>
          <w:sz w:val="22"/>
          <w:szCs w:val="22"/>
        </w:rPr>
        <w:t xml:space="preserve"> </w:t>
      </w:r>
      <w:r w:rsidRPr="004C13A5">
        <w:rPr>
          <w:rFonts w:asciiTheme="minorHAnsi" w:hAnsiTheme="minorHAnsi" w:cstheme="minorHAnsi"/>
          <w:sz w:val="22"/>
          <w:szCs w:val="22"/>
        </w:rPr>
        <w:t>When Vibhishana reaches the seashore, he humbly offers salutations to all the great and noble beings</w:t>
      </w:r>
      <w:r w:rsidR="009916D7" w:rsidRPr="004C13A5">
        <w:rPr>
          <w:rFonts w:asciiTheme="minorHAnsi" w:hAnsiTheme="minorHAnsi" w:cstheme="minorHAnsi"/>
          <w:sz w:val="22"/>
          <w:szCs w:val="22"/>
        </w:rPr>
        <w:t xml:space="preserve"> as Endaro Mahanu Bhavulu Andaariki Vandhanamu</w:t>
      </w:r>
      <w:r w:rsidRPr="004C13A5">
        <w:rPr>
          <w:rFonts w:asciiTheme="minorHAnsi" w:hAnsiTheme="minorHAnsi" w:cstheme="minorHAnsi"/>
          <w:sz w:val="22"/>
          <w:szCs w:val="22"/>
        </w:rPr>
        <w:t xml:space="preserve"> in Rama’s presence, acknowledging their greatness before surrendering himself. His devotion is pure, sincere, and free of all ego.</w:t>
      </w:r>
      <w:r w:rsidR="004C13A5">
        <w:rPr>
          <w:rFonts w:asciiTheme="minorHAnsi" w:hAnsiTheme="minorHAnsi" w:cstheme="minorHAnsi"/>
          <w:sz w:val="22"/>
          <w:szCs w:val="22"/>
        </w:rPr>
        <w:t xml:space="preserve">  </w:t>
      </w:r>
    </w:p>
    <w:p w14:paraId="1AC3A4DA" w14:textId="314E22A1" w:rsidR="0018179D" w:rsidRPr="004C13A5" w:rsidRDefault="0018179D" w:rsidP="004C13A5">
      <w:pPr>
        <w:pStyle w:val="NormalWeb"/>
        <w:ind w:left="360"/>
        <w:rPr>
          <w:rFonts w:asciiTheme="minorHAnsi" w:hAnsiTheme="minorHAnsi" w:cstheme="minorHAnsi"/>
          <w:sz w:val="22"/>
          <w:szCs w:val="22"/>
        </w:rPr>
      </w:pPr>
      <w:r w:rsidRPr="004C13A5">
        <w:rPr>
          <w:rFonts w:asciiTheme="minorHAnsi" w:hAnsiTheme="minorHAnsi" w:cstheme="minorHAnsi"/>
          <w:sz w:val="22"/>
          <w:szCs w:val="22"/>
        </w:rPr>
        <w:t>In the final lines of the composition, Saint Tyagaraja draws a parallel—</w:t>
      </w:r>
      <w:r w:rsidRPr="004C13A5">
        <w:rPr>
          <w:rFonts w:asciiTheme="minorHAnsi" w:hAnsiTheme="minorHAnsi" w:cstheme="minorHAnsi"/>
          <w:sz w:val="22"/>
          <w:szCs w:val="22"/>
        </w:rPr>
        <w:br/>
      </w:r>
      <w:r w:rsidRPr="004C13A5">
        <w:rPr>
          <w:rStyle w:val="Emphasis"/>
          <w:rFonts w:asciiTheme="minorHAnsi" w:eastAsiaTheme="majorEastAsia" w:hAnsiTheme="minorHAnsi" w:cstheme="minorHAnsi"/>
          <w:i w:val="0"/>
          <w:iCs w:val="0"/>
          <w:sz w:val="22"/>
          <w:szCs w:val="22"/>
        </w:rPr>
        <w:t>If Lord Rama could accept the devotion of the brother of His own enemy, then will He not accept mine?</w:t>
      </w:r>
      <w:r w:rsidR="009916D7" w:rsidRPr="004C13A5">
        <w:rPr>
          <w:rStyle w:val="Emphasis"/>
          <w:rFonts w:asciiTheme="minorHAnsi" w:eastAsiaTheme="majorEastAsia" w:hAnsiTheme="minorHAnsi" w:cstheme="minorHAnsi"/>
          <w:i w:val="0"/>
          <w:iCs w:val="0"/>
          <w:sz w:val="22"/>
          <w:szCs w:val="22"/>
        </w:rPr>
        <w:t xml:space="preserve"> </w:t>
      </w:r>
      <w:r w:rsidRPr="004C13A5">
        <w:rPr>
          <w:rFonts w:asciiTheme="minorHAnsi" w:hAnsiTheme="minorHAnsi" w:cstheme="minorHAnsi"/>
          <w:sz w:val="22"/>
          <w:szCs w:val="22"/>
        </w:rPr>
        <w:t>Through this, Tyagaraja expresses both deep humility and unwavering faith in the Lord’s compassion and grace.</w:t>
      </w:r>
    </w:p>
    <w:p w14:paraId="4980AF4D" w14:textId="3F762B0A" w:rsidR="00BA14C3" w:rsidRPr="00DC6C62" w:rsidRDefault="00BA14C3" w:rsidP="004C13A5">
      <w:pPr>
        <w:pStyle w:val="ListParagraph"/>
        <w:numPr>
          <w:ilvl w:val="0"/>
          <w:numId w:val="2"/>
        </w:numPr>
        <w:rPr>
          <w:b/>
          <w:bCs/>
        </w:rPr>
      </w:pPr>
      <w:r w:rsidRPr="00DC6C62">
        <w:rPr>
          <w:b/>
          <w:bCs/>
        </w:rPr>
        <w:t>Bo Shambo</w:t>
      </w:r>
    </w:p>
    <w:p w14:paraId="0DADDC31" w14:textId="10EAEC00" w:rsidR="00D3753A" w:rsidRDefault="00D3753A" w:rsidP="00DC6C62">
      <w:pPr>
        <w:pStyle w:val="ListParagraph"/>
        <w:ind w:left="360"/>
      </w:pPr>
      <w:r w:rsidRPr="00D3753A">
        <w:t>“Bo Shambo” beautifully reflects the boundless compassion and empathy that Lord Shiva holds for his devotees. In this song, we witness the divine grace of Shiva as he comes to the rescue of young Markandeya</w:t>
      </w:r>
      <w:r w:rsidR="00552DC3">
        <w:t xml:space="preserve">, </w:t>
      </w:r>
      <w:r w:rsidRPr="00D3753A">
        <w:t xml:space="preserve">a child destined to live only until the age of sixteen. Fully aware of his fate, the devoted Markandeya spends his final moments in worship, surrendering himself completely at the feet of the </w:t>
      </w:r>
      <w:r w:rsidR="00552DC3">
        <w:t>l</w:t>
      </w:r>
      <w:r w:rsidRPr="00D3753A">
        <w:t>ord</w:t>
      </w:r>
      <w:r w:rsidR="00552DC3">
        <w:t xml:space="preserve"> Shiva</w:t>
      </w:r>
      <w:r w:rsidRPr="00D3753A">
        <w:t xml:space="preserve">. Moved by the boy’s unwavering bhakti and purity of heart, Lord Shiva intervenes, breaking the boundaries of fate itself. He destroys Yama, the god of death, to protect his devotee, </w:t>
      </w:r>
      <w:r w:rsidRPr="00D3753A">
        <w:lastRenderedPageBreak/>
        <w:t>granting Markandeya eternal life</w:t>
      </w:r>
      <w:r>
        <w:t xml:space="preserve"> by granting a boon of being 16</w:t>
      </w:r>
      <w:r w:rsidR="00552DC3">
        <w:t xml:space="preserve"> years old</w:t>
      </w:r>
      <w:r>
        <w:t xml:space="preserve"> always</w:t>
      </w:r>
      <w:r w:rsidRPr="00D3753A">
        <w:t>.</w:t>
      </w:r>
      <w:r w:rsidRPr="00D3753A">
        <w:br/>
        <w:t>‘Bo Shambo’ celebrates this powerful moment—where devotion conquers destiny, and the divine responds with immeasurable love.”</w:t>
      </w:r>
    </w:p>
    <w:p w14:paraId="70759675" w14:textId="7AAD8079" w:rsidR="00BA14C3" w:rsidRPr="00DC6C62" w:rsidRDefault="00BA14C3" w:rsidP="004C13A5">
      <w:pPr>
        <w:pStyle w:val="ListParagraph"/>
        <w:numPr>
          <w:ilvl w:val="0"/>
          <w:numId w:val="2"/>
        </w:numPr>
        <w:rPr>
          <w:b/>
          <w:bCs/>
        </w:rPr>
      </w:pPr>
      <w:r w:rsidRPr="00DC6C62">
        <w:rPr>
          <w:b/>
          <w:bCs/>
        </w:rPr>
        <w:t>Rama Rama Nivaramu</w:t>
      </w:r>
    </w:p>
    <w:p w14:paraId="1D4E14E2" w14:textId="657DA48D" w:rsidR="00552DC3" w:rsidRDefault="00552DC3" w:rsidP="004C13A5">
      <w:pPr>
        <w:pStyle w:val="ListParagraph"/>
        <w:ind w:left="360"/>
      </w:pPr>
      <w:r w:rsidRPr="00552DC3">
        <w:t xml:space="preserve">In </w:t>
      </w:r>
      <w:r w:rsidRPr="00552DC3">
        <w:rPr>
          <w:i/>
          <w:iCs/>
        </w:rPr>
        <w:t>Rama Rama Nivaramu</w:t>
      </w:r>
      <w:r w:rsidRPr="00552DC3">
        <w:t>, Saint Thyagaraja beautifully channels the devotion of Goddess Sita, seeing Lord Rama through her eyes—filled with unwavering love, patience, and surrender. By embodying Sita’s pure bhakti, he expresses the highest form of dedication one can offer to the divine. As the composition reaches its end, Thyagaraja humbly offers his own heart, saying that he too is ready to love Rama with the same depth</w:t>
      </w:r>
      <w:r>
        <w:t xml:space="preserve"> and</w:t>
      </w:r>
      <w:r w:rsidRPr="00552DC3">
        <w:t xml:space="preserve"> purity as Sita herself. In this moment of soulful surrender, he wonders with longing and hope: Will Lord Rama accept my love, just as He accepted Sita’s eternal devotion?</w:t>
      </w:r>
    </w:p>
    <w:p w14:paraId="49BF47DE" w14:textId="2F12E400" w:rsidR="00BA14C3" w:rsidRPr="00DC6C62" w:rsidRDefault="00BA14C3" w:rsidP="004C13A5">
      <w:pPr>
        <w:pStyle w:val="ListParagraph"/>
        <w:numPr>
          <w:ilvl w:val="0"/>
          <w:numId w:val="2"/>
        </w:numPr>
        <w:rPr>
          <w:b/>
          <w:bCs/>
        </w:rPr>
      </w:pPr>
      <w:r w:rsidRPr="00DC6C62">
        <w:rPr>
          <w:b/>
          <w:bCs/>
        </w:rPr>
        <w:t>Dhanashree Tillana</w:t>
      </w:r>
    </w:p>
    <w:p w14:paraId="75F0B606" w14:textId="33784793" w:rsidR="00552DC3" w:rsidRDefault="00552DC3" w:rsidP="004C13A5">
      <w:pPr>
        <w:pStyle w:val="ListParagraph"/>
        <w:ind w:left="360"/>
      </w:pPr>
      <w:r w:rsidRPr="00552DC3">
        <w:t>In this Dhanashree Tillana, the dancer celebrates Lord Padmanabha, the eternal preserver who rests upon the cosmic serpent, symbolizing peace, creation, and divine balance. The composition weaves together rhythmic brilliance and devotion, allowing the performer to portray both the joy of dance and the serenity of bhakti.</w:t>
      </w:r>
    </w:p>
    <w:p w14:paraId="72FE6D9B" w14:textId="516232AA" w:rsidR="00552DC3" w:rsidRDefault="00552DC3" w:rsidP="004C13A5">
      <w:pPr>
        <w:pStyle w:val="ListParagraph"/>
        <w:pBdr>
          <w:bottom w:val="single" w:sz="12" w:space="1" w:color="auto"/>
        </w:pBdr>
        <w:ind w:left="360"/>
      </w:pPr>
      <w:r w:rsidRPr="00552DC3">
        <w:t>Towards the end, the sahityam becomes a direct salutation, where the performer seeks the Lord’s blessings, offering the dance as an act of devotion. The Tillana concludes with a flourish—merging intricate footwork, expressive abhinaya, and pure bliss, capturing the divine charm of Padmanabha.</w:t>
      </w:r>
    </w:p>
    <w:p w14:paraId="415B6F74" w14:textId="5273E852" w:rsidR="004C13A5" w:rsidRDefault="004C13A5" w:rsidP="004C13A5">
      <w:pPr>
        <w:pStyle w:val="ListParagraph"/>
        <w:pBdr>
          <w:bottom w:val="single" w:sz="12" w:space="1" w:color="auto"/>
        </w:pBdr>
        <w:ind w:left="360"/>
      </w:pPr>
      <w:r>
        <w:tab/>
      </w:r>
      <w:r>
        <w:tab/>
      </w:r>
      <w:r>
        <w:tab/>
      </w:r>
    </w:p>
    <w:p w14:paraId="6567CE50" w14:textId="77777777" w:rsidR="00232DBA" w:rsidRDefault="00232DBA" w:rsidP="00232DBA">
      <w:pPr>
        <w:pStyle w:val="ListParagraph"/>
        <w:ind w:left="0"/>
      </w:pPr>
    </w:p>
    <w:p w14:paraId="1B1C1737" w14:textId="5D1B4870" w:rsidR="00232DBA" w:rsidRPr="009E64E8" w:rsidRDefault="009E64E8" w:rsidP="00232DBA">
      <w:pPr>
        <w:pStyle w:val="ListParagraph"/>
        <w:ind w:left="0"/>
        <w:rPr>
          <w:b/>
          <w:bCs/>
        </w:rPr>
      </w:pPr>
      <w:r w:rsidRPr="009E64E8">
        <w:rPr>
          <w:b/>
          <w:bCs/>
        </w:rPr>
        <w:t>One Liners for MC</w:t>
      </w:r>
    </w:p>
    <w:p w14:paraId="5513B12E" w14:textId="77777777" w:rsidR="009E64E8" w:rsidRDefault="009E64E8" w:rsidP="00232DBA">
      <w:pPr>
        <w:pStyle w:val="ListParagraph"/>
        <w:ind w:left="0"/>
      </w:pPr>
    </w:p>
    <w:p w14:paraId="02BA40DD" w14:textId="36077236" w:rsidR="009E64E8" w:rsidRPr="004C13A5" w:rsidRDefault="009E64E8" w:rsidP="00232DBA">
      <w:pPr>
        <w:pStyle w:val="ListParagraph"/>
        <w:ind w:left="0"/>
        <w:rPr>
          <w:b/>
          <w:bCs/>
        </w:rPr>
      </w:pPr>
      <w:r w:rsidRPr="004C13A5">
        <w:rPr>
          <w:b/>
          <w:bCs/>
        </w:rPr>
        <w:t xml:space="preserve">Panthala Balano </w:t>
      </w:r>
    </w:p>
    <w:p w14:paraId="2AA240C6" w14:textId="56690274" w:rsidR="004C13A5" w:rsidRDefault="004C13A5" w:rsidP="00232DBA">
      <w:pPr>
        <w:pStyle w:val="ListParagraph"/>
        <w:ind w:left="0"/>
      </w:pPr>
      <w:r w:rsidRPr="004C13A5">
        <w:t>“Abandoned by his mother, Ayyappa renounces the throne, tames the forest, and embarks on a divine journey to Sabarimala.”</w:t>
      </w:r>
      <w:r>
        <w:t xml:space="preserve"> Is set in </w:t>
      </w:r>
      <w:r w:rsidRPr="004C13A5">
        <w:rPr>
          <w:b/>
          <w:bCs/>
        </w:rPr>
        <w:t>Aadi Talam</w:t>
      </w:r>
      <w:r>
        <w:t xml:space="preserve"> and ______Ragam, composed by </w:t>
      </w:r>
      <w:r w:rsidRPr="004C13A5">
        <w:rPr>
          <w:b/>
          <w:bCs/>
        </w:rPr>
        <w:t>Madhavan Kutty</w:t>
      </w:r>
      <w:r>
        <w:t>.</w:t>
      </w:r>
    </w:p>
    <w:p w14:paraId="3AFFC8AE" w14:textId="77777777" w:rsidR="009E64E8" w:rsidRDefault="009E64E8" w:rsidP="00232DBA">
      <w:pPr>
        <w:pStyle w:val="ListParagraph"/>
        <w:ind w:left="0"/>
      </w:pPr>
    </w:p>
    <w:p w14:paraId="03F8C668" w14:textId="5C58E1B8" w:rsidR="009E64E8" w:rsidRPr="009E64E8" w:rsidRDefault="009E64E8" w:rsidP="00232DBA">
      <w:pPr>
        <w:pStyle w:val="ListParagraph"/>
        <w:ind w:left="0"/>
        <w:rPr>
          <w:b/>
          <w:bCs/>
        </w:rPr>
      </w:pPr>
      <w:r w:rsidRPr="009E64E8">
        <w:rPr>
          <w:b/>
          <w:bCs/>
        </w:rPr>
        <w:t>Endaro Mahanu Bhavulu</w:t>
      </w:r>
    </w:p>
    <w:p w14:paraId="5106A573" w14:textId="77777777" w:rsidR="009E64E8" w:rsidRPr="009E64E8" w:rsidRDefault="009E64E8" w:rsidP="009E64E8">
      <w:pPr>
        <w:pStyle w:val="ListParagraph"/>
        <w:ind w:left="0"/>
      </w:pPr>
      <w:r w:rsidRPr="009E64E8">
        <w:t xml:space="preserve">“Saint Tyagaraja’s masterpiece, Endaro Mahanubhavulu, in </w:t>
      </w:r>
      <w:r w:rsidRPr="004C13A5">
        <w:rPr>
          <w:b/>
          <w:bCs/>
        </w:rPr>
        <w:t>Sri Raga, Adi Talam</w:t>
      </w:r>
      <w:r w:rsidRPr="009E64E8">
        <w:t>, celebrating devotion and bhakti</w:t>
      </w:r>
      <w:r>
        <w:t xml:space="preserve"> of Vibhishana and unparalleled love and surrendering of Saint Tyagaraja</w:t>
      </w:r>
      <w:r w:rsidRPr="009E64E8">
        <w:t>.”</w:t>
      </w:r>
    </w:p>
    <w:p w14:paraId="77E94E90" w14:textId="0010F6FA" w:rsidR="009E64E8" w:rsidRPr="009E64E8" w:rsidRDefault="009E64E8" w:rsidP="00232DBA">
      <w:pPr>
        <w:pStyle w:val="ListParagraph"/>
        <w:ind w:left="0"/>
        <w:rPr>
          <w:b/>
          <w:bCs/>
        </w:rPr>
      </w:pPr>
      <w:r w:rsidRPr="009E64E8">
        <w:rPr>
          <w:b/>
          <w:bCs/>
        </w:rPr>
        <w:t>Bo Shambo</w:t>
      </w:r>
    </w:p>
    <w:p w14:paraId="784055F3" w14:textId="3E15A208" w:rsidR="009E64E8" w:rsidRDefault="009E64E8" w:rsidP="00232DBA">
      <w:pPr>
        <w:pStyle w:val="ListParagraph"/>
        <w:ind w:left="0"/>
      </w:pPr>
      <w:r>
        <w:t xml:space="preserve">“Experience ‘Bo Shambo’ by Swati </w:t>
      </w:r>
      <w:r>
        <w:t>Thirunal</w:t>
      </w:r>
      <w:r>
        <w:t xml:space="preserve">, in </w:t>
      </w:r>
      <w:r>
        <w:rPr>
          <w:rStyle w:val="Strong"/>
        </w:rPr>
        <w:t>Ragam Revati</w:t>
      </w:r>
      <w:r>
        <w:t xml:space="preserve"> and </w:t>
      </w:r>
      <w:r>
        <w:rPr>
          <w:rStyle w:val="Strong"/>
        </w:rPr>
        <w:t>Adi Thalam</w:t>
      </w:r>
      <w:r>
        <w:t>, where Lord Shiva’s boundless compassion saves young Markandeya from fate itself.”</w:t>
      </w:r>
    </w:p>
    <w:p w14:paraId="0929980F" w14:textId="07D88C70" w:rsidR="009E64E8" w:rsidRDefault="009E64E8" w:rsidP="00232DBA">
      <w:pPr>
        <w:pStyle w:val="ListParagraph"/>
        <w:ind w:left="0"/>
        <w:rPr>
          <w:b/>
          <w:bCs/>
        </w:rPr>
      </w:pPr>
      <w:r w:rsidRPr="009E64E8">
        <w:rPr>
          <w:b/>
          <w:bCs/>
        </w:rPr>
        <w:t>Rama Rama Nivaramu</w:t>
      </w:r>
    </w:p>
    <w:p w14:paraId="60CDA39A" w14:textId="43F9E5EA" w:rsidR="009E64E8" w:rsidRPr="009E64E8" w:rsidRDefault="009E64E8" w:rsidP="00232DBA">
      <w:pPr>
        <w:pStyle w:val="ListParagraph"/>
        <w:ind w:left="0"/>
      </w:pPr>
      <w:r>
        <w:t xml:space="preserve">Up Next is </w:t>
      </w:r>
      <w:r w:rsidRPr="009E64E8">
        <w:t xml:space="preserve">‘Rama Rama Nivaramu’ set in </w:t>
      </w:r>
      <w:r w:rsidRPr="004C13A5">
        <w:rPr>
          <w:b/>
          <w:bCs/>
        </w:rPr>
        <w:t>Ragam Madhyamavati and Adi Thalam</w:t>
      </w:r>
      <w:r w:rsidRPr="009E64E8">
        <w:t>,</w:t>
      </w:r>
      <w:r w:rsidR="004C13A5">
        <w:t xml:space="preserve"> composed by </w:t>
      </w:r>
      <w:r w:rsidRPr="009E64E8">
        <w:t>Saint Thyagaraja, who envisions the divine love of Lord Rama through the eyes of Goddess Sita."</w:t>
      </w:r>
    </w:p>
    <w:p w14:paraId="54985224" w14:textId="1BA8FC2A" w:rsidR="009E64E8" w:rsidRPr="009E64E8" w:rsidRDefault="009E64E8" w:rsidP="00232DBA">
      <w:pPr>
        <w:pStyle w:val="ListParagraph"/>
        <w:ind w:left="0"/>
        <w:rPr>
          <w:b/>
          <w:bCs/>
        </w:rPr>
      </w:pPr>
      <w:r w:rsidRPr="009E64E8">
        <w:rPr>
          <w:b/>
          <w:bCs/>
        </w:rPr>
        <w:t>Dhanashree Tillana</w:t>
      </w:r>
    </w:p>
    <w:p w14:paraId="707D6D83" w14:textId="040A5ECF" w:rsidR="00232DBA" w:rsidRDefault="009E64E8" w:rsidP="009E64E8">
      <w:pPr>
        <w:pStyle w:val="ListParagraph"/>
        <w:ind w:left="0"/>
      </w:pPr>
      <w:r w:rsidRPr="009E64E8">
        <w:t xml:space="preserve">“Presenting a lively </w:t>
      </w:r>
      <w:r w:rsidRPr="004C13A5">
        <w:rPr>
          <w:b/>
          <w:bCs/>
        </w:rPr>
        <w:t>Dhanashree Tillana in Adi Tala</w:t>
      </w:r>
      <w:r w:rsidR="004C13A5" w:rsidRPr="004C13A5">
        <w:rPr>
          <w:b/>
          <w:bCs/>
        </w:rPr>
        <w:t>m</w:t>
      </w:r>
      <w:r w:rsidRPr="009E64E8">
        <w:t xml:space="preserve"> by Maharaja Swathi Thirunal, a rhythmic offering to Lord Padmanabha.”</w:t>
      </w:r>
      <w:r>
        <w:t xml:space="preserve"> Followed by Mangala</w:t>
      </w:r>
      <w:r w:rsidR="004C13A5">
        <w:t>m.</w:t>
      </w:r>
      <w:r w:rsidR="00232DBA">
        <w:tab/>
      </w:r>
      <w:r w:rsidR="00232DBA">
        <w:tab/>
      </w:r>
      <w:r w:rsidR="00232DBA">
        <w:tab/>
      </w:r>
      <w:r w:rsidR="00232DBA">
        <w:tab/>
      </w:r>
      <w:r w:rsidR="00232DBA">
        <w:tab/>
      </w:r>
    </w:p>
    <w:sectPr w:rsidR="00232D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EE8"/>
    <w:multiLevelType w:val="hybridMultilevel"/>
    <w:tmpl w:val="6EBA68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02E63D9"/>
    <w:multiLevelType w:val="hybridMultilevel"/>
    <w:tmpl w:val="DDD48F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95851365">
    <w:abstractNumId w:val="1"/>
  </w:num>
  <w:num w:numId="2" w16cid:durableId="79687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41"/>
    <w:rsid w:val="0018179D"/>
    <w:rsid w:val="00182F41"/>
    <w:rsid w:val="00232DBA"/>
    <w:rsid w:val="002632E0"/>
    <w:rsid w:val="0037768A"/>
    <w:rsid w:val="003B29D9"/>
    <w:rsid w:val="004C13A5"/>
    <w:rsid w:val="004F69F1"/>
    <w:rsid w:val="00552DC3"/>
    <w:rsid w:val="0071042A"/>
    <w:rsid w:val="009916D7"/>
    <w:rsid w:val="009E64E8"/>
    <w:rsid w:val="00BA14C3"/>
    <w:rsid w:val="00BC06FF"/>
    <w:rsid w:val="00BD6F3F"/>
    <w:rsid w:val="00CE5DAF"/>
    <w:rsid w:val="00D3753A"/>
    <w:rsid w:val="00DC6C62"/>
    <w:rsid w:val="00F242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759B"/>
  <w15:chartTrackingRefBased/>
  <w15:docId w15:val="{F9CEF6B6-4907-4A44-B7EB-F38160B7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F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2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2F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2F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2F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2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F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F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F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F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F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F41"/>
    <w:rPr>
      <w:rFonts w:eastAsiaTheme="majorEastAsia" w:cstheme="majorBidi"/>
      <w:color w:val="272727" w:themeColor="text1" w:themeTint="D8"/>
    </w:rPr>
  </w:style>
  <w:style w:type="paragraph" w:styleId="Title">
    <w:name w:val="Title"/>
    <w:basedOn w:val="Normal"/>
    <w:next w:val="Normal"/>
    <w:link w:val="TitleChar"/>
    <w:uiPriority w:val="10"/>
    <w:qFormat/>
    <w:rsid w:val="00182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F41"/>
    <w:pPr>
      <w:spacing w:before="160"/>
      <w:jc w:val="center"/>
    </w:pPr>
    <w:rPr>
      <w:i/>
      <w:iCs/>
      <w:color w:val="404040" w:themeColor="text1" w:themeTint="BF"/>
    </w:rPr>
  </w:style>
  <w:style w:type="character" w:customStyle="1" w:styleId="QuoteChar">
    <w:name w:val="Quote Char"/>
    <w:basedOn w:val="DefaultParagraphFont"/>
    <w:link w:val="Quote"/>
    <w:uiPriority w:val="29"/>
    <w:rsid w:val="00182F41"/>
    <w:rPr>
      <w:i/>
      <w:iCs/>
      <w:color w:val="404040" w:themeColor="text1" w:themeTint="BF"/>
    </w:rPr>
  </w:style>
  <w:style w:type="paragraph" w:styleId="ListParagraph">
    <w:name w:val="List Paragraph"/>
    <w:basedOn w:val="Normal"/>
    <w:uiPriority w:val="34"/>
    <w:qFormat/>
    <w:rsid w:val="00182F41"/>
    <w:pPr>
      <w:ind w:left="720"/>
      <w:contextualSpacing/>
    </w:pPr>
  </w:style>
  <w:style w:type="character" w:styleId="IntenseEmphasis">
    <w:name w:val="Intense Emphasis"/>
    <w:basedOn w:val="DefaultParagraphFont"/>
    <w:uiPriority w:val="21"/>
    <w:qFormat/>
    <w:rsid w:val="00182F41"/>
    <w:rPr>
      <w:i/>
      <w:iCs/>
      <w:color w:val="2F5496" w:themeColor="accent1" w:themeShade="BF"/>
    </w:rPr>
  </w:style>
  <w:style w:type="paragraph" w:styleId="IntenseQuote">
    <w:name w:val="Intense Quote"/>
    <w:basedOn w:val="Normal"/>
    <w:next w:val="Normal"/>
    <w:link w:val="IntenseQuoteChar"/>
    <w:uiPriority w:val="30"/>
    <w:qFormat/>
    <w:rsid w:val="00182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2F41"/>
    <w:rPr>
      <w:i/>
      <w:iCs/>
      <w:color w:val="2F5496" w:themeColor="accent1" w:themeShade="BF"/>
    </w:rPr>
  </w:style>
  <w:style w:type="character" w:styleId="IntenseReference">
    <w:name w:val="Intense Reference"/>
    <w:basedOn w:val="DefaultParagraphFont"/>
    <w:uiPriority w:val="32"/>
    <w:qFormat/>
    <w:rsid w:val="00182F41"/>
    <w:rPr>
      <w:b/>
      <w:bCs/>
      <w:smallCaps/>
      <w:color w:val="2F5496" w:themeColor="accent1" w:themeShade="BF"/>
      <w:spacing w:val="5"/>
    </w:rPr>
  </w:style>
  <w:style w:type="paragraph" w:styleId="NormalWeb">
    <w:name w:val="Normal (Web)"/>
    <w:basedOn w:val="Normal"/>
    <w:uiPriority w:val="99"/>
    <w:semiHidden/>
    <w:unhideWhenUsed/>
    <w:rsid w:val="0018179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18179D"/>
    <w:rPr>
      <w:b/>
      <w:bCs/>
    </w:rPr>
  </w:style>
  <w:style w:type="character" w:styleId="Emphasis">
    <w:name w:val="Emphasis"/>
    <w:basedOn w:val="DefaultParagraphFont"/>
    <w:uiPriority w:val="20"/>
    <w:qFormat/>
    <w:rsid w:val="001817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satisducibus@gmail.com</dc:creator>
  <cp:keywords/>
  <dc:description/>
  <cp:lastModifiedBy>satisducibus@gmail.com</cp:lastModifiedBy>
  <cp:revision>8</cp:revision>
  <dcterms:created xsi:type="dcterms:W3CDTF">2025-12-12T06:13:00Z</dcterms:created>
  <dcterms:modified xsi:type="dcterms:W3CDTF">2025-12-12T07:24:00Z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85dfd31c-1579-4e3f-8643-ba3aeb497aed</vt:lpwstr>
  </property>
</Properties>
</file>